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before="109" w:after="109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1900" w:h="16840"/>
          <w:pgMar w:top="1988" w:right="1039" w:bottom="2542" w:left="1017" w:header="0" w:footer="3" w:gutter="0"/>
          <w:cols w:space="720"/>
          <w:noEndnote/>
          <w:rtlGutter w:val="0"/>
          <w:docGrid w:linePitch="360"/>
        </w:sectPr>
      </w:pP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0" w:name="bookmark0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KARTA ZGŁOSZENIA KANDYDATA NA ŁAWNIKA*</w:t>
      </w:r>
      <w:bookmarkEnd w:id="0"/>
    </w:p>
    <w:p>
      <w:pPr>
        <w:pStyle w:val="Style6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A. Właściwa rada gminy</w:t>
      </w:r>
      <w:r>
        <w:rPr>
          <w:color w:val="000000"/>
          <w:spacing w:val="0"/>
          <w:w w:val="100"/>
          <w:position w:val="0"/>
          <w:sz w:val="11"/>
          <w:szCs w:val="11"/>
          <w:shd w:val="clear" w:color="auto" w:fill="auto"/>
          <w:vertAlign w:val="superscript"/>
          <w:lang w:val="pl-PL" w:eastAsia="pl-PL" w:bidi="pl-PL"/>
        </w:rPr>
        <w:footnoteReference w:id="2"/>
      </w: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, do której następuje zgłoszenie kandydata na ławnika**: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RADA MIEJSKA WĘGLIŃCA</w:t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B. Dane kandydata na ławnika**</w:t>
      </w:r>
    </w:p>
    <w:tbl>
      <w:tblPr>
        <w:tblOverlap w:val="never"/>
        <w:jc w:val="center"/>
        <w:tblLayout w:type="fixed"/>
      </w:tblPr>
      <w:tblGrid>
        <w:gridCol w:w="283"/>
        <w:gridCol w:w="4762"/>
        <w:gridCol w:w="4776"/>
      </w:tblGrid>
      <w:tr>
        <w:trPr>
          <w:trHeight w:val="389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Imię (imiona) i nazwisko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Nazwiska używane poprzednio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Obywatelstwo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2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Numer PESEL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Miejsce zamieszkania, ze wskazaniem, od ilu lat kandydat mieszka na terenie gminy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706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Adres do korespondencji i dane kontaktowe (numer telefonu kontaktowego, numer telefonu w miejscu pracy i ewentualnie adres e-mail)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706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Wykształcenie wyższe tytuł zawodowy i nazwa kierunku studiów lub wykształcenie średnie lub średnie branżowe i nazwa zawodu (np. technik budownictwa)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96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Status zawodowy (np. pracownik, przedsiębiorca, emeryt, bezrobotny) oraz wskazanie, od ilu lat (miesięcy) kandydat w nim pozostaje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715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Miejsce pracy lub prowadzonej działalności, ze wskazaniem, od ilu lat kandydat jest zatrudniony lub prowadzi działalność gospodarczą na terenie gminy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90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tabs>
                <w:tab w:pos="1291" w:val="left"/>
                <w:tab w:pos="1670" w:val="left"/>
                <w:tab w:pos="2304" w:val="left"/>
                <w:tab w:pos="3278" w:val="left"/>
                <w:tab w:pos="3802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Doświadczenie</w:t>
              <w:tab/>
              <w:t>w</w:t>
              <w:tab/>
              <w:t>pracy</w:t>
              <w:tab/>
              <w:t>społecznej</w:t>
              <w:tab/>
              <w:t>(np.</w:t>
              <w:tab/>
              <w:t>członkostwo</w:t>
            </w:r>
          </w:p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w organizacjach społecznych)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18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11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Motywy kandydowania na ławnika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84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Informacja o pełnieniu funkcji ławnika w poprzednich kadencjach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13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Wskazanie sądu, do orzekania w którym proponowany jest kandydat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tabs>
                <w:tab w:leader="dot" w:pos="3014" w:val="left"/>
              </w:tabs>
              <w:bidi w:val="0"/>
              <w:spacing w:before="0" w:after="0" w:line="240" w:lineRule="auto"/>
              <w:ind w:left="0" w:right="0" w:firstLine="0"/>
              <w:jc w:val="left"/>
              <w:rPr>
                <w:sz w:val="14"/>
                <w:szCs w:val="14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pl-PL" w:eastAsia="pl-PL" w:bidi="pl-PL"/>
              </w:rPr>
              <w:t>Sąd Rejonowy/</w:t>
            </w:r>
            <w:r>
              <w:rPr>
                <w:strike/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pl-PL" w:eastAsia="pl-PL" w:bidi="pl-PL"/>
              </w:rPr>
              <w:t>Okręgowy</w:t>
            </w:r>
            <w:r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pl-PL" w:eastAsia="pl-PL" w:bidi="pl-PL"/>
              </w:rPr>
              <w:t xml:space="preserve">. w </w:t>
            </w: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pl-PL" w:eastAsia="pl-PL" w:bidi="pl-PL"/>
              </w:rPr>
              <w:t>Z</w:t>
            </w:r>
            <w:r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pl-PL" w:eastAsia="pl-PL" w:bidi="pl-PL"/>
              </w:rPr>
              <w:t>gorzelcu</w:t>
              <w:tab/>
            </w:r>
          </w:p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(niepotrzebne skreślić)</w:t>
            </w:r>
          </w:p>
        </w:tc>
      </w:tr>
      <w:tr>
        <w:trPr>
          <w:trHeight w:val="91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14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Informacja, czy zgłaszany kandydat jest proponowany do orzekania w sprawach z zakresu prawa pracy, wraz ze zwięzłym uzasadnieniem potwierdzającym szczególną znajomość spraw pracowniczych** *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after="359" w:line="1" w:lineRule="exact"/>
      </w:pPr>
    </w:p>
    <w:p>
      <w:pPr>
        <w:pStyle w:val="Style19"/>
        <w:keepNext/>
        <w:keepLines/>
        <w:widowControl w:val="0"/>
        <w:shd w:val="clear" w:color="auto" w:fill="auto"/>
        <w:bidi w:val="0"/>
        <w:spacing w:before="0" w:after="560" w:line="240" w:lineRule="auto"/>
        <w:ind w:left="0" w:right="0" w:firstLine="0"/>
        <w:jc w:val="left"/>
      </w:pPr>
      <w:bookmarkStart w:id="2" w:name="bookmark2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Wyrażam zgodę na kandydowanie i potwierdzam prawdziwość powyższych danych zawartych w karcie zgłoszenia własnoręcznym podpisem.</w:t>
      </w:r>
      <w:bookmarkEnd w:id="2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4960" w:right="0" w:firstLine="0"/>
        <w:jc w:val="left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779780</wp:posOffset>
                </wp:positionH>
                <wp:positionV relativeFrom="paragraph">
                  <wp:posOffset>12700</wp:posOffset>
                </wp:positionV>
                <wp:extent cx="1173480" cy="128270"/>
                <wp:wrapSquare wrapText="right"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173480" cy="1282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pl-PL" w:eastAsia="pl-PL" w:bidi="pl-PL"/>
                              </w:rPr>
                              <w:t>(miejscowość i data wypełnienia)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61.399999999999999pt;margin-top:1.pt;width:92.400000000000006pt;height:10.1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pl-PL" w:eastAsia="pl-PL" w:bidi="pl-PL"/>
                        </w:rPr>
                        <w:t>(miejscowość i data wypełnienia)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(czytelny podpis kandydata na ławnika)</w:t>
      </w:r>
      <w:r>
        <w:br w:type="page"/>
      </w:r>
    </w:p>
    <w:p>
      <w:pPr>
        <w:pStyle w:val="Style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C. Dane podmiotu zgłaszającego kandydata na ławnika****</w:t>
      </w:r>
    </w:p>
    <w:tbl>
      <w:tblPr>
        <w:tblOverlap w:val="never"/>
        <w:jc w:val="center"/>
        <w:tblLayout w:type="fixed"/>
      </w:tblPr>
      <w:tblGrid>
        <w:gridCol w:w="283"/>
        <w:gridCol w:w="4762"/>
        <w:gridCol w:w="4776"/>
      </w:tblGrid>
      <w:tr>
        <w:trPr>
          <w:trHeight w:val="562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Nazwa podmiotu i oznaczenie siedziby*****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Imię i nazwisko osoby zgłaszającej kandydata, uprawnionej do reprezentacji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Podpis osoby zgłaszającej kandydata, uprawnionej do reprezentacji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Nazwa i numer rejestru lub ewidencji, do których podmiot jest wpisany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1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Dane teleadresowe do korespondencji: adres (jeżeli jest inny niż adres siedziby), telefon kontaktowy i adres e-mail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after="879" w:line="1" w:lineRule="exact"/>
      </w:pP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mc:AlternateContent>
          <mc:Choice Requires="wps">
            <w:drawing>
              <wp:anchor distT="0" distB="0" distL="114300" distR="114300" simplePos="0" relativeHeight="125829380" behindDoc="0" locked="0" layoutInCell="1" allowOverlap="1">
                <wp:simplePos x="0" y="0"/>
                <wp:positionH relativeFrom="page">
                  <wp:posOffset>829945</wp:posOffset>
                </wp:positionH>
                <wp:positionV relativeFrom="paragraph">
                  <wp:posOffset>12700</wp:posOffset>
                </wp:positionV>
                <wp:extent cx="1173480" cy="128270"/>
                <wp:wrapSquare wrapText="right"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173480" cy="1282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pl-PL" w:eastAsia="pl-PL" w:bidi="pl-PL"/>
                              </w:rPr>
                              <w:t>(miejscowość i data wypełnienia)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65.349999999999994pt;margin-top:1.pt;width:92.400000000000006pt;height:10.1pt;z-index:-125829373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pl-PL" w:eastAsia="pl-PL" w:bidi="pl-PL"/>
                        </w:rPr>
                        <w:t>(miejscowość i data wypełnienia)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(czytelny podpis prezesa sądu albo osoby reprezentującej podmiot</w:t>
        <w:br/>
        <w:t>określony w art. 162 § 1 ustawy z dnia 27 lipca 2001 r. - Prawo</w:t>
        <w:br/>
        <w:t>o ustroju sądów powszechnych, uprawnionej do zgłoszenia</w:t>
        <w:br/>
        <w:t>kandydata lub osoby, której nazwisko zostało umieszczone jako</w:t>
        <w:br/>
        <w:t>pierwsze na liście osób określonej w art. 162 § 4 tej ustawy)</w:t>
      </w:r>
    </w:p>
    <w:p>
      <w:pPr>
        <w:pStyle w:val="Style19"/>
        <w:keepNext/>
        <w:keepLines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left"/>
      </w:pPr>
      <w:bookmarkStart w:id="4" w:name="bookmark4"/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pl-PL" w:eastAsia="pl-PL" w:bidi="pl-PL"/>
        </w:rPr>
        <w:t>POUCZENIE:</w:t>
      </w:r>
      <w:bookmarkEnd w:id="4"/>
    </w:p>
    <w:p>
      <w:pPr>
        <w:pStyle w:val="Style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Zgłoszenie, które wpłynęło do rady gminy po upływie terminu określonego w art. 162 § 1 ustawy z dnia 27 lipca 2001 r. - Prawo o ustroju sądów powszechnych, lub niespełniające wymagań formalnych, o których mowa w art. 162 § 2-5 ustawy z dnia 27 lipca 2001 r. - Prawo o ustroju sądów powszechnych i rozporządzeniu Ministra Sprawiedliwości z dnia 9 czerwca 2011 r. w sprawie sposobu postępowania z dokumentami złożonymi radom gmin przy zgłaszaniu kandydatów na ławników oraz wzoru karty zgłoszenia (Dz. U. poz. 693 oraz z 2022 r. poz. 2155), pozostawia się bez dalszego biegu. Termin do zgłoszenia kandydata nie podlega przywróceniu.</w:t>
      </w:r>
    </w:p>
    <w:p>
      <w:pPr>
        <w:pStyle w:val="Style6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Kartę zgłoszenia wraz z załącznikami (informacja z Krajowego Rejestru Karnego; oświadczenie kandydata, że nie jest prowadzone przeciwko niemu postępowanie o przestępstwo ścigane z oskarżenia publicznego lub przestępstwo skarbowe; oświadczenie kandydata, że nie jest lub nie był pozbawiony władzy rodzicielskiej, a także że władza rodzicielska nie została mu ograniczona ani zawieszona; zaświadczenie lekarskie o stanie zdrowia stwierdzające brak przeciwwskazań do wykonywania funkcji ławnika; dwa zdjęcia; aktualny odpis z Krajowego Rejestru Sądowego albo odpis lub zaświadczenie potwierdzające wpis do innego właściwego rejestru lub ewidencji; lista osób zgłaszających kandydata) podmiot zgłaszający kandydata na ławnika lub kandydat, który nie został wybrany na ławnika, powinien odebrać w nieprzekraczalnym terminie 60 dni od dnia przeprowadzenia wyborów. W przypadku nieodebrania dokumentów w terminie wyżej wskazanym dokumentacja zostanie zniszczona w terminie 30 dni.</w:t>
      </w:r>
    </w:p>
    <w:p>
      <w:pPr>
        <w:pStyle w:val="Style6"/>
        <w:keepNext w:val="0"/>
        <w:keepLines w:val="0"/>
        <w:widowControl w:val="0"/>
        <w:shd w:val="clear" w:color="auto" w:fill="auto"/>
        <w:bidi w:val="0"/>
        <w:spacing w:before="0" w:after="72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W razie zaistnienia jakichkolwiek zmian (z wyjątkiem zmian w rubrykach B9-B11) ławnik powinien je zgłosić do oddziału administracyjnego sądu do orzekania, w którym został wybrany.</w:t>
      </w:r>
    </w:p>
    <w:p>
      <w:pPr>
        <w:pStyle w:val="Style19"/>
        <w:keepNext/>
        <w:keepLines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left"/>
      </w:pPr>
      <w:bookmarkStart w:id="6" w:name="bookmark6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OBJAŚNIENIA:</w:t>
      </w:r>
      <w:bookmarkEnd w:id="6"/>
    </w:p>
    <w:p>
      <w:pPr>
        <w:pStyle w:val="Style6"/>
        <w:keepNext w:val="0"/>
        <w:keepLines w:val="0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mc:AlternateContent>
          <mc:Choice Requires="wps">
            <w:drawing>
              <wp:anchor distT="0" distB="0" distL="50800" distR="50800" simplePos="0" relativeHeight="125829382" behindDoc="0" locked="0" layoutInCell="1" allowOverlap="1">
                <wp:simplePos x="0" y="0"/>
                <wp:positionH relativeFrom="page">
                  <wp:posOffset>656590</wp:posOffset>
                </wp:positionH>
                <wp:positionV relativeFrom="paragraph">
                  <wp:posOffset>12700</wp:posOffset>
                </wp:positionV>
                <wp:extent cx="274320" cy="563880"/>
                <wp:wrapSquare wrapText="right"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74320" cy="56388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pl-PL" w:eastAsia="pl-PL" w:bidi="pl-PL"/>
                              </w:rPr>
                              <w:t>*</w:t>
                            </w:r>
                          </w:p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pl-PL" w:eastAsia="pl-PL" w:bidi="pl-PL"/>
                              </w:rPr>
                              <w:t>**</w:t>
                            </w:r>
                          </w:p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pl-PL" w:eastAsia="pl-PL" w:bidi="pl-PL"/>
                              </w:rPr>
                              <w:t>***</w:t>
                            </w:r>
                          </w:p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pl-PL" w:eastAsia="pl-PL" w:bidi="pl-PL"/>
                              </w:rPr>
                              <w:t>****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style="position:absolute;margin-left:51.700000000000003pt;margin-top:1.pt;width:21.600000000000001pt;height:44.399999999999999pt;z-index:-125829371;mso-wrap-distance-left:4.pt;mso-wrap-distance-right:4.pt;mso-position-horizontal-relative:page" filled="f" stroked="f">
                <v:textbox inset="0,0,0,0">
                  <w:txbxContent>
                    <w:p>
                      <w:pPr>
                        <w:pStyle w:val="Style6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pl-PL" w:eastAsia="pl-PL" w:bidi="pl-PL"/>
                        </w:rPr>
                        <w:t>*</w:t>
                      </w:r>
                    </w:p>
                    <w:p>
                      <w:pPr>
                        <w:pStyle w:val="Style6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pl-PL" w:eastAsia="pl-PL" w:bidi="pl-PL"/>
                        </w:rPr>
                        <w:t>**</w:t>
                      </w:r>
                    </w:p>
                    <w:p>
                      <w:pPr>
                        <w:pStyle w:val="Style6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pl-PL" w:eastAsia="pl-PL" w:bidi="pl-PL"/>
                        </w:rPr>
                        <w:t>***</w:t>
                      </w:r>
                    </w:p>
                    <w:p>
                      <w:pPr>
                        <w:pStyle w:val="Style6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pl-PL" w:eastAsia="pl-PL" w:bidi="pl-PL"/>
                        </w:rPr>
                        <w:t>****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Kartę zgłoszenia należy wypełnić dużymi drukowanymi literami, czarnym lub niebieskim kolorem.</w:t>
      </w:r>
    </w:p>
    <w:p>
      <w:pPr>
        <w:pStyle w:val="Style6"/>
        <w:keepNext w:val="0"/>
        <w:keepLines w:val="0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Wypełnia kandydat.</w:t>
      </w:r>
    </w:p>
    <w:p>
      <w:pPr>
        <w:pStyle w:val="Style6"/>
        <w:keepNext w:val="0"/>
        <w:keepLines w:val="0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W razie braku miejsca w rubryce można dołączyć odrębną kartę.</w:t>
      </w:r>
    </w:p>
    <w:p>
      <w:pPr>
        <w:pStyle w:val="Style6"/>
        <w:keepNext w:val="0"/>
        <w:keepLines w:val="0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Wypełnia podmiot zgłaszający; w przypadku zgłoszeń dokonywanych przez co najmniej 50 obywateli mających czynne prawo wyborcze rubrykę 1 i 4 należy przekreślić, zaś część C powinna zostać uzupełniona danymi osoby, której nazwisko zostało umieszczone jako pierwsze na liście osób, o której mowa w art. 162 § 4 ustawy z dnia 27 lipca 2001 r. - Prawo o ustroju sądów powszechnych.</w:t>
      </w:r>
    </w:p>
    <w:p>
      <w:pPr>
        <w:pStyle w:val="Style6"/>
        <w:keepNext w:val="0"/>
        <w:keepLines w:val="0"/>
        <w:widowControl w:val="0"/>
        <w:shd w:val="clear" w:color="auto" w:fill="auto"/>
        <w:bidi w:val="0"/>
        <w:spacing w:before="0" w:after="460" w:line="259" w:lineRule="auto"/>
        <w:ind w:left="0" w:right="0" w:firstLine="5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Prezes sądu wypełnia w części C wyłącznie rubrykę 1.</w:t>
      </w:r>
    </w:p>
    <w:sectPr>
      <w:footnotePr>
        <w:pos w:val="pageBottom"/>
        <w:numFmt w:val="upperRoman"/>
        <w:numStart w:val="1"/>
        <w:numRestart w:val="continuous"/>
        <w15:footnoteColumns w:val="1"/>
      </w:footnotePr>
      <w:type w:val="continuous"/>
      <w:pgSz w:w="11900" w:h="16840"/>
      <w:pgMar w:top="1988" w:right="1039" w:bottom="2542" w:left="1017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Zgodnie z art. 158 § 1 pkt 4 ustawy z dnia 27 lipca 2001 r. - Prawo o ustroju sądów powszechnych (Dz. U. z 2020 r. poz. 2072, z 2021 r. poz. 1080 i 1236 oraz z 2022 r. poz. 655, 1259 i 1933).</w:t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pl-PL" w:eastAsia="pl-PL" w:bidi="pl-PL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pl-PL" w:eastAsia="pl-PL" w:bidi="pl-PL"/>
    </w:rPr>
  </w:style>
  <w:style w:type="character" w:customStyle="1" w:styleId="CharStyle3">
    <w:name w:val="Stopka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CharStyle5">
    <w:name w:val="Tekst treści (2)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CharStyle7">
    <w:name w:val="Tekst treści_"/>
    <w:basedOn w:val="DefaultParagraphFont"/>
    <w:link w:val="Styl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CharStyle9">
    <w:name w:val="Nagłówek #1_"/>
    <w:basedOn w:val="DefaultParagraphFont"/>
    <w:link w:val="Styl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CharStyle12">
    <w:name w:val="Tekst treści (3)_"/>
    <w:basedOn w:val="DefaultParagraphFont"/>
    <w:link w:val="Style11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CharStyle14">
    <w:name w:val="Podpis tabeli_"/>
    <w:basedOn w:val="DefaultParagraphFont"/>
    <w:link w:val="Style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CharStyle16">
    <w:name w:val="Inne_"/>
    <w:basedOn w:val="DefaultParagraphFont"/>
    <w:link w:val="Style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CharStyle20">
    <w:name w:val="Nagłówek #2_"/>
    <w:basedOn w:val="DefaultParagraphFont"/>
    <w:link w:val="Style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paragraph" w:customStyle="1" w:styleId="Style2">
    <w:name w:val="Stopka"/>
    <w:basedOn w:val="Normal"/>
    <w:link w:val="CharStyle3"/>
    <w:pPr>
      <w:widowControl w:val="0"/>
      <w:shd w:val="clear" w:color="auto" w:fill="auto"/>
      <w:ind w:left="300" w:firstLine="2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Style4">
    <w:name w:val="Tekst treści (2)"/>
    <w:basedOn w:val="Normal"/>
    <w:link w:val="CharStyle5"/>
    <w:pPr>
      <w:widowControl w:val="0"/>
      <w:shd w:val="clear" w:color="auto" w:fill="auto"/>
      <w:spacing w:after="880"/>
      <w:jc w:val="center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paragraph" w:customStyle="1" w:styleId="Style6">
    <w:name w:val="Tekst treści"/>
    <w:basedOn w:val="Normal"/>
    <w:link w:val="CharStyle7"/>
    <w:pPr>
      <w:widowControl w:val="0"/>
      <w:shd w:val="clear" w:color="auto" w:fill="auto"/>
      <w:spacing w:after="120"/>
      <w:ind w:firstLine="32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Style8">
    <w:name w:val="Nagłówek #1"/>
    <w:basedOn w:val="Normal"/>
    <w:link w:val="CharStyle9"/>
    <w:pPr>
      <w:widowControl w:val="0"/>
      <w:shd w:val="clear" w:color="auto" w:fill="auto"/>
      <w:spacing w:after="240"/>
      <w:jc w:val="center"/>
      <w:outlineLvl w:val="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Style11">
    <w:name w:val="Tekst treści (3)"/>
    <w:basedOn w:val="Normal"/>
    <w:link w:val="CharStyle12"/>
    <w:pPr>
      <w:widowControl w:val="0"/>
      <w:shd w:val="clear" w:color="auto" w:fill="auto"/>
      <w:spacing w:after="18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Style13">
    <w:name w:val="Podpis tabeli"/>
    <w:basedOn w:val="Normal"/>
    <w:link w:val="CharStyle14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Style15">
    <w:name w:val="Inne"/>
    <w:basedOn w:val="Normal"/>
    <w:link w:val="CharStyle16"/>
    <w:pPr>
      <w:widowControl w:val="0"/>
      <w:shd w:val="clear" w:color="auto" w:fill="auto"/>
      <w:spacing w:after="120"/>
      <w:ind w:firstLine="32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Style19">
    <w:name w:val="Nagłówek #2"/>
    <w:basedOn w:val="Normal"/>
    <w:link w:val="CharStyle20"/>
    <w:pPr>
      <w:widowControl w:val="0"/>
      <w:shd w:val="clear" w:color="auto" w:fill="auto"/>
      <w:spacing w:after="390"/>
      <w:outlineLvl w:val="1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/>
  <dc:subject/>
  <dc:creator>Wolters Kluwer Polska</dc:creator>
  <cp:keywords/>
</cp:coreProperties>
</file>